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62D2D" w14:textId="6F4E193A" w:rsidR="00F93D25" w:rsidRPr="00D24168" w:rsidRDefault="00D24168" w:rsidP="00D24168">
      <w:pPr>
        <w:jc w:val="center"/>
        <w:rPr>
          <w:b/>
          <w:bCs/>
          <w:sz w:val="28"/>
          <w:szCs w:val="28"/>
        </w:rPr>
      </w:pPr>
      <w:r>
        <w:rPr>
          <w:b/>
          <w:bCs/>
          <w:noProof/>
          <w:sz w:val="28"/>
          <w:szCs w:val="28"/>
        </w:rPr>
        <w:drawing>
          <wp:anchor distT="0" distB="0" distL="114300" distR="114300" simplePos="0" relativeHeight="251659264" behindDoc="0" locked="0" layoutInCell="1" allowOverlap="1" wp14:anchorId="2A180223" wp14:editId="069DD056">
            <wp:simplePos x="0" y="0"/>
            <wp:positionH relativeFrom="margin">
              <wp:align>right</wp:align>
            </wp:positionH>
            <wp:positionV relativeFrom="page">
              <wp:align>top</wp:align>
            </wp:positionV>
            <wp:extent cx="1490472" cy="1069848"/>
            <wp:effectExtent l="0" t="0" r="0" b="0"/>
            <wp:wrapTopAndBottom/>
            <wp:docPr id="2006007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0" behindDoc="0" locked="0" layoutInCell="1" allowOverlap="1" wp14:anchorId="21BA9956" wp14:editId="222AC9CC">
            <wp:simplePos x="0" y="0"/>
            <wp:positionH relativeFrom="margin">
              <wp:align>left</wp:align>
            </wp:positionH>
            <wp:positionV relativeFrom="topMargin">
              <wp:align>bottom</wp:align>
            </wp:positionV>
            <wp:extent cx="1490472" cy="585216"/>
            <wp:effectExtent l="0" t="0" r="0" b="0"/>
            <wp:wrapTopAndBottom/>
            <wp:docPr id="644964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3D25" w:rsidRPr="00897C3B">
        <w:rPr>
          <w:b/>
          <w:bCs/>
          <w:sz w:val="28"/>
          <w:szCs w:val="28"/>
        </w:rPr>
        <w:t>Written</w:t>
      </w:r>
      <w:r w:rsidR="00964E3E" w:rsidRPr="00897C3B">
        <w:rPr>
          <w:b/>
          <w:bCs/>
          <w:sz w:val="28"/>
          <w:szCs w:val="28"/>
        </w:rPr>
        <w:t xml:space="preserve"> vs. Oral</w:t>
      </w:r>
      <w:r w:rsidR="00F93D25" w:rsidRPr="00897C3B">
        <w:rPr>
          <w:b/>
          <w:bCs/>
          <w:sz w:val="28"/>
          <w:szCs w:val="28"/>
        </w:rPr>
        <w:t xml:space="preserve"> Consent Forms </w:t>
      </w:r>
    </w:p>
    <w:p w14:paraId="246AADD7" w14:textId="77777777" w:rsidR="00897C3B" w:rsidRDefault="00897C3B" w:rsidP="00897C3B">
      <w:pPr>
        <w:spacing w:after="0"/>
        <w:rPr>
          <w:b/>
          <w:bCs/>
          <w:color w:val="002060"/>
          <w:sz w:val="22"/>
          <w:szCs w:val="22"/>
        </w:rPr>
      </w:pPr>
    </w:p>
    <w:p w14:paraId="4329B576" w14:textId="415275DD" w:rsidR="00F93D25" w:rsidRPr="00FF5CDB" w:rsidRDefault="31E8617D" w:rsidP="00897C3B">
      <w:pPr>
        <w:spacing w:after="0"/>
        <w:rPr>
          <w:b/>
          <w:bCs/>
          <w:color w:val="000000" w:themeColor="text1"/>
          <w:sz w:val="22"/>
          <w:szCs w:val="22"/>
        </w:rPr>
      </w:pPr>
      <w:r w:rsidRPr="00FF5CDB">
        <w:rPr>
          <w:b/>
          <w:bCs/>
          <w:color w:val="000000" w:themeColor="text1"/>
          <w:sz w:val="22"/>
          <w:szCs w:val="22"/>
        </w:rPr>
        <w:t>Written vs. Oral Consent in the Context of COMSA-Mozambique</w:t>
      </w:r>
      <w:r w:rsidR="00091FBB">
        <w:rPr>
          <w:b/>
          <w:bCs/>
          <w:color w:val="000000" w:themeColor="text1"/>
          <w:sz w:val="22"/>
          <w:szCs w:val="22"/>
        </w:rPr>
        <w:t>:</w:t>
      </w:r>
    </w:p>
    <w:p w14:paraId="57D1F6EF" w14:textId="71611312" w:rsidR="365EE0A5" w:rsidRPr="00FF5CDB" w:rsidRDefault="365EE0A5" w:rsidP="00897C3B">
      <w:pPr>
        <w:spacing w:after="0"/>
        <w:rPr>
          <w:rFonts w:ascii="Aptos" w:eastAsia="Aptos" w:hAnsi="Aptos" w:cs="Aptos"/>
          <w:color w:val="000000" w:themeColor="text1"/>
          <w:sz w:val="22"/>
          <w:szCs w:val="22"/>
        </w:rPr>
      </w:pPr>
      <w:r w:rsidRPr="00FF5CDB">
        <w:rPr>
          <w:rFonts w:ascii="Aptos" w:eastAsia="Aptos" w:hAnsi="Aptos" w:cs="Aptos"/>
          <w:color w:val="000000" w:themeColor="text1"/>
          <w:sz w:val="22"/>
          <w:szCs w:val="22"/>
        </w:rPr>
        <w:t>COMSA-Mozambique, a community-based mortality surveillance system, uses written and oral consent forms to ensure informed participation in data collection on deaths, births, and causes of death. Initially, the system relied solely on written consent but later introduced oral consent during the COVID-19 pandemic to minimize physical contact. Both methods, approved by institutional review boards (IRBs), cover identical content tailored to specific data collection activities, ensuring participants understand the study’s purpose and their rights.</w:t>
      </w:r>
    </w:p>
    <w:p w14:paraId="670F4E79" w14:textId="0C539211" w:rsidR="365EE0A5" w:rsidRPr="00FF5CDB" w:rsidRDefault="365EE0A5" w:rsidP="365EE0A5">
      <w:pPr>
        <w:spacing w:after="0"/>
        <w:rPr>
          <w:rFonts w:ascii="Aptos" w:eastAsia="Aptos" w:hAnsi="Aptos" w:cs="Aptos"/>
          <w:color w:val="000000" w:themeColor="text1"/>
          <w:sz w:val="22"/>
          <w:szCs w:val="22"/>
        </w:rPr>
      </w:pPr>
    </w:p>
    <w:p w14:paraId="0282E78B" w14:textId="45CFE5C6" w:rsidR="00BC05E0" w:rsidRPr="00FF5CDB" w:rsidRDefault="009D34A0" w:rsidP="00BC05E0">
      <w:pPr>
        <w:rPr>
          <w:color w:val="000000" w:themeColor="text1"/>
          <w:sz w:val="22"/>
          <w:szCs w:val="22"/>
        </w:rPr>
      </w:pPr>
      <w:r w:rsidRPr="00FF5CDB">
        <w:rPr>
          <w:color w:val="000000" w:themeColor="text1"/>
          <w:sz w:val="22"/>
          <w:szCs w:val="22"/>
        </w:rPr>
        <w:t>COMSA utilizes seven</w:t>
      </w:r>
      <w:r w:rsidR="00746ED9" w:rsidRPr="00FF5CDB">
        <w:rPr>
          <w:color w:val="000000" w:themeColor="text1"/>
          <w:sz w:val="22"/>
          <w:szCs w:val="22"/>
        </w:rPr>
        <w:t xml:space="preserve"> written consent forms: 1) Adult pregnancy/birth/death, 2) Adult VASA, 3) Child assent for pregnancy/birth/death, 4) Child assent for VASA, 5) Household data, 6) Parental permission for pregnancy/birth/death, 7) Parental permission for VASA. </w:t>
      </w:r>
    </w:p>
    <w:p w14:paraId="0EA78217" w14:textId="2936093A" w:rsidR="00E45779" w:rsidRPr="00FF5CDB" w:rsidRDefault="365EE0A5" w:rsidP="00897C3B">
      <w:pPr>
        <w:spacing w:after="0"/>
        <w:rPr>
          <w:b/>
          <w:bCs/>
          <w:color w:val="000000" w:themeColor="text1"/>
          <w:sz w:val="22"/>
          <w:szCs w:val="22"/>
        </w:rPr>
      </w:pPr>
      <w:r w:rsidRPr="00FF5CDB">
        <w:rPr>
          <w:b/>
          <w:bCs/>
          <w:color w:val="000000" w:themeColor="text1"/>
          <w:sz w:val="22"/>
          <w:szCs w:val="22"/>
        </w:rPr>
        <w:t>Reasoning for Us</w:t>
      </w:r>
      <w:r w:rsidR="00C044BA">
        <w:rPr>
          <w:b/>
          <w:bCs/>
          <w:color w:val="000000" w:themeColor="text1"/>
          <w:sz w:val="22"/>
          <w:szCs w:val="22"/>
        </w:rPr>
        <w:t>e of</w:t>
      </w:r>
      <w:r w:rsidRPr="00FF5CDB">
        <w:rPr>
          <w:b/>
          <w:bCs/>
          <w:color w:val="000000" w:themeColor="text1"/>
          <w:sz w:val="22"/>
          <w:szCs w:val="22"/>
        </w:rPr>
        <w:t xml:space="preserve"> Written Consent Forms</w:t>
      </w:r>
      <w:r w:rsidR="00091FBB">
        <w:rPr>
          <w:b/>
          <w:bCs/>
          <w:color w:val="000000" w:themeColor="text1"/>
          <w:sz w:val="22"/>
          <w:szCs w:val="22"/>
        </w:rPr>
        <w:t>:</w:t>
      </w:r>
    </w:p>
    <w:p w14:paraId="6FB2D4F4" w14:textId="0C0415D1" w:rsidR="365EE0A5" w:rsidRPr="00FF5CDB" w:rsidRDefault="365EE0A5" w:rsidP="00897C3B">
      <w:pPr>
        <w:spacing w:after="0"/>
        <w:rPr>
          <w:rFonts w:ascii="Aptos" w:eastAsia="Aptos" w:hAnsi="Aptos" w:cs="Aptos"/>
          <w:color w:val="000000" w:themeColor="text1"/>
          <w:sz w:val="22"/>
          <w:szCs w:val="22"/>
        </w:rPr>
      </w:pPr>
      <w:r w:rsidRPr="00FF5CDB">
        <w:rPr>
          <w:rFonts w:ascii="Aptos" w:eastAsia="Aptos" w:hAnsi="Aptos" w:cs="Aptos"/>
          <w:color w:val="000000" w:themeColor="text1"/>
          <w:sz w:val="22"/>
          <w:szCs w:val="22"/>
        </w:rPr>
        <w:t>Written consent, requiring a signature, ensures legal documentation, enhances accountability, and supports traceability, particularly for sensitive topics like child deaths or verbal autopsies, which investigate causes of death through interviews.</w:t>
      </w:r>
    </w:p>
    <w:p w14:paraId="6E2C5BA4" w14:textId="77777777" w:rsidR="009D34A0" w:rsidRPr="00FF5CDB" w:rsidRDefault="009D34A0" w:rsidP="009D34A0">
      <w:pPr>
        <w:spacing w:after="0"/>
        <w:rPr>
          <w:color w:val="000000" w:themeColor="text1"/>
          <w:sz w:val="22"/>
          <w:szCs w:val="22"/>
        </w:rPr>
      </w:pPr>
    </w:p>
    <w:p w14:paraId="3A4A663F" w14:textId="7089B687" w:rsidR="0012047E" w:rsidRPr="00FF5CDB" w:rsidRDefault="0012047E" w:rsidP="009D34A0">
      <w:pPr>
        <w:spacing w:after="0"/>
        <w:rPr>
          <w:color w:val="000000" w:themeColor="text1"/>
          <w:sz w:val="22"/>
          <w:szCs w:val="22"/>
        </w:rPr>
      </w:pPr>
      <w:r w:rsidRPr="00FF5CDB">
        <w:rPr>
          <w:color w:val="000000" w:themeColor="text1"/>
          <w:sz w:val="22"/>
          <w:szCs w:val="22"/>
        </w:rPr>
        <w:t xml:space="preserve">During the COVID pandemic, oral consent forms were used to maintain social distancing and mitigate the spread of infection between data collectors and participants. The content of the oral consent forms </w:t>
      </w:r>
      <w:proofErr w:type="gramStart"/>
      <w:r w:rsidRPr="00FF5CDB">
        <w:rPr>
          <w:color w:val="000000" w:themeColor="text1"/>
          <w:sz w:val="22"/>
          <w:szCs w:val="22"/>
        </w:rPr>
        <w:t>were</w:t>
      </w:r>
      <w:proofErr w:type="gramEnd"/>
      <w:r w:rsidRPr="00FF5CDB">
        <w:rPr>
          <w:color w:val="000000" w:themeColor="text1"/>
          <w:sz w:val="22"/>
          <w:szCs w:val="22"/>
        </w:rPr>
        <w:t xml:space="preserve"> identical to that of the </w:t>
      </w:r>
      <w:proofErr w:type="gramStart"/>
      <w:r w:rsidRPr="00FF5CDB">
        <w:rPr>
          <w:color w:val="000000" w:themeColor="text1"/>
          <w:sz w:val="22"/>
          <w:szCs w:val="22"/>
        </w:rPr>
        <w:t>aforementioned written</w:t>
      </w:r>
      <w:proofErr w:type="gramEnd"/>
      <w:r w:rsidRPr="00FF5CDB">
        <w:rPr>
          <w:color w:val="000000" w:themeColor="text1"/>
          <w:sz w:val="22"/>
          <w:szCs w:val="22"/>
        </w:rPr>
        <w:t xml:space="preserve"> consent forms, with the only difference being that participants were asked to verbally consent to participate in the study, rather than providing a signature on a form. </w:t>
      </w:r>
    </w:p>
    <w:p w14:paraId="7BC13947" w14:textId="77777777" w:rsidR="00695F23" w:rsidRPr="00FF5CDB" w:rsidRDefault="00695F23" w:rsidP="00695F23">
      <w:pPr>
        <w:spacing w:after="0"/>
        <w:rPr>
          <w:b/>
          <w:bCs/>
          <w:color w:val="000000" w:themeColor="text1"/>
          <w:sz w:val="22"/>
          <w:szCs w:val="22"/>
        </w:rPr>
      </w:pPr>
    </w:p>
    <w:p w14:paraId="3A3830B1" w14:textId="00F1E7B4" w:rsidR="00E45779" w:rsidRPr="00FF5CDB" w:rsidRDefault="365EE0A5" w:rsidP="00695F23">
      <w:pPr>
        <w:spacing w:after="0"/>
        <w:rPr>
          <w:b/>
          <w:bCs/>
          <w:color w:val="000000" w:themeColor="text1"/>
          <w:sz w:val="22"/>
          <w:szCs w:val="22"/>
        </w:rPr>
      </w:pPr>
      <w:r w:rsidRPr="00FF5CDB">
        <w:rPr>
          <w:b/>
          <w:bCs/>
          <w:color w:val="000000" w:themeColor="text1"/>
          <w:sz w:val="22"/>
          <w:szCs w:val="22"/>
        </w:rPr>
        <w:t xml:space="preserve">Reasoning for </w:t>
      </w:r>
      <w:proofErr w:type="gramStart"/>
      <w:r w:rsidRPr="00FF5CDB">
        <w:rPr>
          <w:b/>
          <w:bCs/>
          <w:color w:val="000000" w:themeColor="text1"/>
          <w:sz w:val="22"/>
          <w:szCs w:val="22"/>
        </w:rPr>
        <w:t>Us</w:t>
      </w:r>
      <w:r w:rsidR="00C044BA">
        <w:rPr>
          <w:b/>
          <w:bCs/>
          <w:color w:val="000000" w:themeColor="text1"/>
          <w:sz w:val="22"/>
          <w:szCs w:val="22"/>
        </w:rPr>
        <w:t>e</w:t>
      </w:r>
      <w:proofErr w:type="gramEnd"/>
      <w:r w:rsidRPr="00FF5CDB">
        <w:rPr>
          <w:b/>
          <w:bCs/>
          <w:color w:val="000000" w:themeColor="text1"/>
          <w:sz w:val="22"/>
          <w:szCs w:val="22"/>
        </w:rPr>
        <w:t xml:space="preserve"> </w:t>
      </w:r>
      <w:r w:rsidR="00C044BA">
        <w:rPr>
          <w:b/>
          <w:bCs/>
          <w:color w:val="000000" w:themeColor="text1"/>
          <w:sz w:val="22"/>
          <w:szCs w:val="22"/>
        </w:rPr>
        <w:t xml:space="preserve">of </w:t>
      </w:r>
      <w:r w:rsidRPr="00FF5CDB">
        <w:rPr>
          <w:b/>
          <w:bCs/>
          <w:color w:val="000000" w:themeColor="text1"/>
          <w:sz w:val="22"/>
          <w:szCs w:val="22"/>
        </w:rPr>
        <w:t>Oral Consent Forms</w:t>
      </w:r>
      <w:r w:rsidR="00091FBB">
        <w:rPr>
          <w:b/>
          <w:bCs/>
          <w:color w:val="000000" w:themeColor="text1"/>
          <w:sz w:val="22"/>
          <w:szCs w:val="22"/>
        </w:rPr>
        <w:t>:</w:t>
      </w:r>
    </w:p>
    <w:p w14:paraId="0F44474F" w14:textId="75F36BD8" w:rsidR="00695F23" w:rsidRPr="00FF5CDB" w:rsidRDefault="365EE0A5" w:rsidP="31E8617D">
      <w:pPr>
        <w:rPr>
          <w:rFonts w:ascii="Aptos" w:eastAsia="Aptos" w:hAnsi="Aptos" w:cs="Aptos"/>
          <w:color w:val="000000" w:themeColor="text1"/>
          <w:sz w:val="22"/>
          <w:szCs w:val="22"/>
        </w:rPr>
      </w:pPr>
      <w:r w:rsidRPr="00FF5CDB">
        <w:rPr>
          <w:rFonts w:ascii="Aptos" w:eastAsia="Aptos" w:hAnsi="Aptos" w:cs="Aptos"/>
          <w:color w:val="000000" w:themeColor="text1"/>
          <w:sz w:val="22"/>
          <w:szCs w:val="22"/>
        </w:rPr>
        <w:t>Oral consent, introduced to maintain social distancing during COVID-19, is also used in cases of low literacy or cultural preference, with participants verbally agreeing after hearing the same information as in written forms. Consent is documented via audio recordings or witness verification to ensure ethical compliance. This approach minimizes barriers to participation while upholding informed consent principles, with clear communication tailored to participants’ comprehension levels, especially for vulnerable groups like children or parents</w:t>
      </w:r>
      <w:r w:rsidR="00695F23" w:rsidRPr="00FF5CDB">
        <w:rPr>
          <w:rFonts w:ascii="Aptos" w:eastAsia="Aptos" w:hAnsi="Aptos" w:cs="Aptos"/>
          <w:color w:val="000000" w:themeColor="text1"/>
          <w:sz w:val="22"/>
          <w:szCs w:val="22"/>
        </w:rPr>
        <w:t>.</w:t>
      </w:r>
    </w:p>
    <w:p w14:paraId="23B9D7F6" w14:textId="51647D3E" w:rsidR="00897C3B" w:rsidRPr="00FF5CDB" w:rsidRDefault="31E8617D" w:rsidP="00897C3B">
      <w:pPr>
        <w:spacing w:after="0"/>
        <w:rPr>
          <w:color w:val="000000" w:themeColor="text1"/>
        </w:rPr>
      </w:pPr>
      <w:r w:rsidRPr="00FF5CDB">
        <w:rPr>
          <w:b/>
          <w:bCs/>
          <w:color w:val="000000" w:themeColor="text1"/>
          <w:sz w:val="22"/>
          <w:szCs w:val="22"/>
        </w:rPr>
        <w:t xml:space="preserve">Approval of </w:t>
      </w:r>
      <w:r w:rsidR="00091FBB">
        <w:rPr>
          <w:b/>
          <w:bCs/>
          <w:color w:val="000000" w:themeColor="text1"/>
          <w:sz w:val="22"/>
          <w:szCs w:val="22"/>
        </w:rPr>
        <w:t>Con</w:t>
      </w:r>
      <w:r w:rsidRPr="00FF5CDB">
        <w:rPr>
          <w:b/>
          <w:bCs/>
          <w:color w:val="000000" w:themeColor="text1"/>
          <w:sz w:val="22"/>
          <w:szCs w:val="22"/>
        </w:rPr>
        <w:t xml:space="preserve">sent </w:t>
      </w:r>
      <w:r w:rsidR="00091FBB">
        <w:rPr>
          <w:b/>
          <w:bCs/>
          <w:color w:val="000000" w:themeColor="text1"/>
          <w:sz w:val="22"/>
          <w:szCs w:val="22"/>
        </w:rPr>
        <w:t>F</w:t>
      </w:r>
      <w:r w:rsidRPr="00FF5CDB">
        <w:rPr>
          <w:b/>
          <w:bCs/>
          <w:color w:val="000000" w:themeColor="text1"/>
          <w:sz w:val="22"/>
          <w:szCs w:val="22"/>
        </w:rPr>
        <w:t>orms</w:t>
      </w:r>
      <w:r w:rsidR="00091FBB">
        <w:rPr>
          <w:b/>
          <w:bCs/>
          <w:color w:val="000000" w:themeColor="text1"/>
          <w:sz w:val="22"/>
          <w:szCs w:val="22"/>
        </w:rPr>
        <w:t>:</w:t>
      </w:r>
    </w:p>
    <w:p w14:paraId="4A4D9758" w14:textId="63C550CE" w:rsidR="00F93D25" w:rsidRPr="00FF5CDB" w:rsidRDefault="00695F23" w:rsidP="00897C3B">
      <w:pPr>
        <w:spacing w:after="0"/>
        <w:rPr>
          <w:color w:val="000000" w:themeColor="text1"/>
        </w:rPr>
      </w:pPr>
      <w:r w:rsidRPr="00FF5CDB">
        <w:rPr>
          <w:rFonts w:ascii="Aptos" w:eastAsia="Aptos" w:hAnsi="Aptos" w:cs="Aptos"/>
          <w:color w:val="000000" w:themeColor="text1"/>
          <w:sz w:val="22"/>
          <w:szCs w:val="22"/>
        </w:rPr>
        <w:t>All consent</w:t>
      </w:r>
      <w:r w:rsidR="31E8617D" w:rsidRPr="00FF5CDB">
        <w:rPr>
          <w:rFonts w:ascii="Aptos" w:eastAsia="Aptos" w:hAnsi="Aptos" w:cs="Aptos"/>
          <w:color w:val="000000" w:themeColor="text1"/>
          <w:sz w:val="22"/>
          <w:szCs w:val="22"/>
        </w:rPr>
        <w:t xml:space="preserve"> forms</w:t>
      </w:r>
      <w:r w:rsidRPr="00FF5CDB">
        <w:rPr>
          <w:rFonts w:ascii="Aptos" w:eastAsia="Aptos" w:hAnsi="Aptos" w:cs="Aptos"/>
          <w:color w:val="000000" w:themeColor="text1"/>
          <w:sz w:val="22"/>
          <w:szCs w:val="22"/>
        </w:rPr>
        <w:t>, whether written, oral, or both,</w:t>
      </w:r>
      <w:r w:rsidR="31E8617D" w:rsidRPr="00FF5CDB">
        <w:rPr>
          <w:rFonts w:ascii="Aptos" w:eastAsia="Aptos" w:hAnsi="Aptos" w:cs="Aptos"/>
          <w:color w:val="000000" w:themeColor="text1"/>
          <w:sz w:val="22"/>
          <w:szCs w:val="22"/>
        </w:rPr>
        <w:t xml:space="preserve"> </w:t>
      </w:r>
      <w:r w:rsidRPr="00FF5CDB">
        <w:rPr>
          <w:rFonts w:ascii="Aptos" w:eastAsia="Aptos" w:hAnsi="Aptos" w:cs="Aptos"/>
          <w:color w:val="000000" w:themeColor="text1"/>
          <w:sz w:val="22"/>
          <w:szCs w:val="22"/>
        </w:rPr>
        <w:t>must be approved by the relevant IRB(s) to</w:t>
      </w:r>
      <w:r w:rsidR="31E8617D" w:rsidRPr="00FF5CDB">
        <w:rPr>
          <w:rFonts w:ascii="Aptos" w:eastAsia="Aptos" w:hAnsi="Aptos" w:cs="Aptos"/>
          <w:color w:val="000000" w:themeColor="text1"/>
          <w:sz w:val="22"/>
          <w:szCs w:val="22"/>
        </w:rPr>
        <w:t xml:space="preserve"> ensur</w:t>
      </w:r>
      <w:r w:rsidRPr="00FF5CDB">
        <w:rPr>
          <w:rFonts w:ascii="Aptos" w:eastAsia="Aptos" w:hAnsi="Aptos" w:cs="Aptos"/>
          <w:color w:val="000000" w:themeColor="text1"/>
          <w:sz w:val="22"/>
          <w:szCs w:val="22"/>
        </w:rPr>
        <w:t>e</w:t>
      </w:r>
      <w:r w:rsidR="31E8617D" w:rsidRPr="00FF5CDB">
        <w:rPr>
          <w:rFonts w:ascii="Aptos" w:eastAsia="Aptos" w:hAnsi="Aptos" w:cs="Aptos"/>
          <w:color w:val="000000" w:themeColor="text1"/>
          <w:sz w:val="22"/>
          <w:szCs w:val="22"/>
        </w:rPr>
        <w:t xml:space="preserve"> ethical alignment with local and international standards. Plan IRB submissions at least three months before data collection, accounting for translation, local requirements, and potential delays. Engage local IRBs early to navigate varying regulations, ensuring timely approval and culturally appropriate consent processes</w:t>
      </w:r>
      <w:r w:rsidRPr="00FF5CDB">
        <w:rPr>
          <w:rFonts w:ascii="Aptos" w:eastAsia="Aptos" w:hAnsi="Aptos" w:cs="Aptos"/>
          <w:color w:val="000000" w:themeColor="text1"/>
          <w:sz w:val="22"/>
          <w:szCs w:val="22"/>
        </w:rPr>
        <w:t>.</w:t>
      </w:r>
    </w:p>
    <w:p w14:paraId="74E3B91D" w14:textId="77777777" w:rsidR="009C1698" w:rsidRDefault="009C1698"/>
    <w:sectPr w:rsidR="009C169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A750" w14:textId="77777777" w:rsidR="00AE6805" w:rsidRDefault="00AE6805" w:rsidP="00695F23">
      <w:pPr>
        <w:spacing w:after="0" w:line="240" w:lineRule="auto"/>
      </w:pPr>
      <w:r>
        <w:separator/>
      </w:r>
    </w:p>
  </w:endnote>
  <w:endnote w:type="continuationSeparator" w:id="0">
    <w:p w14:paraId="4F7A7A48" w14:textId="77777777" w:rsidR="00AE6805" w:rsidRDefault="00AE6805" w:rsidP="0069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459C" w14:textId="4A77AEBD" w:rsidR="002C5273" w:rsidRPr="002C5273" w:rsidRDefault="002C5273" w:rsidP="00D24168">
    <w:pPr>
      <w:pStyle w:val="Footer"/>
      <w:rPr>
        <w:i/>
        <w:iCs/>
        <w:color w:val="FF0000"/>
        <w:sz w:val="20"/>
        <w:szCs w:val="20"/>
      </w:rPr>
    </w:pPr>
    <w:r w:rsidRPr="002C5273">
      <w:rPr>
        <w:i/>
        <w:iCs/>
        <w:color w:val="FF0000"/>
        <w:sz w:val="20"/>
        <w:szCs w:val="20"/>
      </w:rPr>
      <w:t>Version 1 – 05 May 2025</w:t>
    </w:r>
    <w:r w:rsidRPr="002C5273">
      <w:rPr>
        <w:i/>
        <w:iCs/>
        <w:color w:val="FF0000"/>
        <w:sz w:val="20"/>
        <w:szCs w:val="20"/>
      </w:rPr>
      <w:ptab w:relativeTo="margin" w:alignment="center" w:leader="none"/>
    </w:r>
    <w:r w:rsidRPr="002C5273">
      <w:rPr>
        <w:i/>
        <w:iCs/>
        <w:color w:val="FF0000"/>
        <w:sz w:val="20"/>
        <w:szCs w:val="20"/>
      </w:rPr>
      <w:ptab w:relativeTo="margin" w:alignment="right" w:leader="none"/>
    </w:r>
    <w:r w:rsidRPr="002C5273">
      <w:rPr>
        <w:i/>
        <w:iCs/>
        <w:color w:val="FF0000"/>
        <w:sz w:val="20"/>
        <w:szCs w:val="20"/>
      </w:rPr>
      <w:t>s5_9_a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5B12" w14:textId="77777777" w:rsidR="00AE6805" w:rsidRDefault="00AE6805" w:rsidP="00695F23">
      <w:pPr>
        <w:spacing w:after="0" w:line="240" w:lineRule="auto"/>
      </w:pPr>
      <w:r>
        <w:separator/>
      </w:r>
    </w:p>
  </w:footnote>
  <w:footnote w:type="continuationSeparator" w:id="0">
    <w:p w14:paraId="42695A30" w14:textId="77777777" w:rsidR="00AE6805" w:rsidRDefault="00AE6805" w:rsidP="00695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57E8F"/>
    <w:multiLevelType w:val="hybridMultilevel"/>
    <w:tmpl w:val="94FC1E12"/>
    <w:lvl w:ilvl="0" w:tplc="E2DCB68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74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25"/>
    <w:rsid w:val="0000754B"/>
    <w:rsid w:val="00057BF6"/>
    <w:rsid w:val="00091FBB"/>
    <w:rsid w:val="0012047E"/>
    <w:rsid w:val="00192157"/>
    <w:rsid w:val="002C5273"/>
    <w:rsid w:val="00321D55"/>
    <w:rsid w:val="00325D50"/>
    <w:rsid w:val="00527B73"/>
    <w:rsid w:val="006165F4"/>
    <w:rsid w:val="00695F23"/>
    <w:rsid w:val="00697E62"/>
    <w:rsid w:val="00746ED9"/>
    <w:rsid w:val="007A531E"/>
    <w:rsid w:val="00801E29"/>
    <w:rsid w:val="00820156"/>
    <w:rsid w:val="00874A89"/>
    <w:rsid w:val="00897C3B"/>
    <w:rsid w:val="009071A2"/>
    <w:rsid w:val="00917606"/>
    <w:rsid w:val="00964E3E"/>
    <w:rsid w:val="009C1698"/>
    <w:rsid w:val="009D34A0"/>
    <w:rsid w:val="00AE6805"/>
    <w:rsid w:val="00BC05E0"/>
    <w:rsid w:val="00C044BA"/>
    <w:rsid w:val="00C60908"/>
    <w:rsid w:val="00D1030F"/>
    <w:rsid w:val="00D24168"/>
    <w:rsid w:val="00E45779"/>
    <w:rsid w:val="00E555DF"/>
    <w:rsid w:val="00F670D0"/>
    <w:rsid w:val="00F93D25"/>
    <w:rsid w:val="00FF297D"/>
    <w:rsid w:val="00FF5CDB"/>
    <w:rsid w:val="31E8617D"/>
    <w:rsid w:val="365EE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417A"/>
  <w15:chartTrackingRefBased/>
  <w15:docId w15:val="{760C1048-84C9-4954-AEC7-F8FDC67E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D25"/>
  </w:style>
  <w:style w:type="paragraph" w:styleId="Heading1">
    <w:name w:val="heading 1"/>
    <w:basedOn w:val="Normal"/>
    <w:next w:val="Normal"/>
    <w:link w:val="Heading1Char"/>
    <w:uiPriority w:val="9"/>
    <w:qFormat/>
    <w:rsid w:val="00F93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D25"/>
    <w:rPr>
      <w:rFonts w:eastAsiaTheme="majorEastAsia" w:cstheme="majorBidi"/>
      <w:color w:val="272727" w:themeColor="text1" w:themeTint="D8"/>
    </w:rPr>
  </w:style>
  <w:style w:type="paragraph" w:styleId="Title">
    <w:name w:val="Title"/>
    <w:basedOn w:val="Normal"/>
    <w:next w:val="Normal"/>
    <w:link w:val="TitleChar"/>
    <w:uiPriority w:val="10"/>
    <w:qFormat/>
    <w:rsid w:val="00F93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D25"/>
    <w:pPr>
      <w:spacing w:before="160"/>
      <w:jc w:val="center"/>
    </w:pPr>
    <w:rPr>
      <w:i/>
      <w:iCs/>
      <w:color w:val="404040" w:themeColor="text1" w:themeTint="BF"/>
    </w:rPr>
  </w:style>
  <w:style w:type="character" w:customStyle="1" w:styleId="QuoteChar">
    <w:name w:val="Quote Char"/>
    <w:basedOn w:val="DefaultParagraphFont"/>
    <w:link w:val="Quote"/>
    <w:uiPriority w:val="29"/>
    <w:rsid w:val="00F93D25"/>
    <w:rPr>
      <w:i/>
      <w:iCs/>
      <w:color w:val="404040" w:themeColor="text1" w:themeTint="BF"/>
    </w:rPr>
  </w:style>
  <w:style w:type="paragraph" w:styleId="ListParagraph">
    <w:name w:val="List Paragraph"/>
    <w:basedOn w:val="Normal"/>
    <w:uiPriority w:val="34"/>
    <w:qFormat/>
    <w:rsid w:val="00F93D25"/>
    <w:pPr>
      <w:ind w:left="720"/>
      <w:contextualSpacing/>
    </w:pPr>
  </w:style>
  <w:style w:type="character" w:styleId="IntenseEmphasis">
    <w:name w:val="Intense Emphasis"/>
    <w:basedOn w:val="DefaultParagraphFont"/>
    <w:uiPriority w:val="21"/>
    <w:qFormat/>
    <w:rsid w:val="00F93D25"/>
    <w:rPr>
      <w:i/>
      <w:iCs/>
      <w:color w:val="0F4761" w:themeColor="accent1" w:themeShade="BF"/>
    </w:rPr>
  </w:style>
  <w:style w:type="paragraph" w:styleId="IntenseQuote">
    <w:name w:val="Intense Quote"/>
    <w:basedOn w:val="Normal"/>
    <w:next w:val="Normal"/>
    <w:link w:val="IntenseQuoteChar"/>
    <w:uiPriority w:val="30"/>
    <w:qFormat/>
    <w:rsid w:val="00F93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D25"/>
    <w:rPr>
      <w:i/>
      <w:iCs/>
      <w:color w:val="0F4761" w:themeColor="accent1" w:themeShade="BF"/>
    </w:rPr>
  </w:style>
  <w:style w:type="character" w:styleId="IntenseReference">
    <w:name w:val="Intense Reference"/>
    <w:basedOn w:val="DefaultParagraphFont"/>
    <w:uiPriority w:val="32"/>
    <w:qFormat/>
    <w:rsid w:val="00F93D25"/>
    <w:rPr>
      <w:b/>
      <w:bCs/>
      <w:smallCaps/>
      <w:color w:val="0F4761" w:themeColor="accent1" w:themeShade="BF"/>
      <w:spacing w:val="5"/>
    </w:rPr>
  </w:style>
  <w:style w:type="character" w:styleId="CommentReference">
    <w:name w:val="annotation reference"/>
    <w:basedOn w:val="DefaultParagraphFont"/>
    <w:uiPriority w:val="99"/>
    <w:semiHidden/>
    <w:unhideWhenUsed/>
    <w:rsid w:val="00F93D25"/>
    <w:rPr>
      <w:sz w:val="16"/>
      <w:szCs w:val="16"/>
    </w:rPr>
  </w:style>
  <w:style w:type="paragraph" w:styleId="CommentText">
    <w:name w:val="annotation text"/>
    <w:basedOn w:val="Normal"/>
    <w:link w:val="CommentTextChar"/>
    <w:uiPriority w:val="99"/>
    <w:unhideWhenUsed/>
    <w:rsid w:val="00F93D25"/>
    <w:pPr>
      <w:spacing w:line="240" w:lineRule="auto"/>
    </w:pPr>
    <w:rPr>
      <w:sz w:val="20"/>
      <w:szCs w:val="20"/>
    </w:rPr>
  </w:style>
  <w:style w:type="character" w:customStyle="1" w:styleId="CommentTextChar">
    <w:name w:val="Comment Text Char"/>
    <w:basedOn w:val="DefaultParagraphFont"/>
    <w:link w:val="CommentText"/>
    <w:uiPriority w:val="99"/>
    <w:rsid w:val="00F93D25"/>
    <w:rPr>
      <w:sz w:val="20"/>
      <w:szCs w:val="20"/>
    </w:rPr>
  </w:style>
  <w:style w:type="paragraph" w:styleId="Header">
    <w:name w:val="header"/>
    <w:basedOn w:val="Normal"/>
    <w:link w:val="HeaderChar"/>
    <w:uiPriority w:val="99"/>
    <w:unhideWhenUsed/>
    <w:rsid w:val="00695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F23"/>
  </w:style>
  <w:style w:type="paragraph" w:styleId="Footer">
    <w:name w:val="footer"/>
    <w:basedOn w:val="Normal"/>
    <w:link w:val="FooterChar"/>
    <w:uiPriority w:val="99"/>
    <w:unhideWhenUsed/>
    <w:rsid w:val="00695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Zack</dc:creator>
  <cp:keywords/>
  <dc:description/>
  <cp:lastModifiedBy>Kelsey Zack</cp:lastModifiedBy>
  <cp:revision>29</cp:revision>
  <dcterms:created xsi:type="dcterms:W3CDTF">2024-11-19T14:24:00Z</dcterms:created>
  <dcterms:modified xsi:type="dcterms:W3CDTF">2025-05-13T16:53:00Z</dcterms:modified>
</cp:coreProperties>
</file>